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F3" w:rsidRPr="00653F1E" w:rsidRDefault="00653F1E" w:rsidP="00ED2BF3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val="en-US"/>
        </w:rPr>
      </w:pPr>
      <w:r>
        <w:rPr>
          <w:rFonts w:eastAsia="Times New Roman" w:cs="Times New Roman"/>
          <w:b/>
          <w:bCs/>
          <w:szCs w:val="28"/>
        </w:rPr>
        <w:t>Phụ lục 0</w:t>
      </w:r>
      <w:r>
        <w:rPr>
          <w:rFonts w:eastAsia="Times New Roman" w:cs="Times New Roman"/>
          <w:b/>
          <w:bCs/>
          <w:szCs w:val="28"/>
          <w:lang w:val="en-US"/>
        </w:rPr>
        <w:t>2</w:t>
      </w:r>
    </w:p>
    <w:p w:rsidR="00653F1E" w:rsidRDefault="00ED2BF3" w:rsidP="00ED2BF3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ED2BF3">
        <w:rPr>
          <w:rFonts w:eastAsia="Times New Roman" w:cs="Times New Roman"/>
          <w:b/>
          <w:bCs/>
          <w:szCs w:val="28"/>
        </w:rPr>
        <w:t xml:space="preserve">DANH MỤC </w:t>
      </w:r>
      <w:r w:rsidR="00653F1E" w:rsidRPr="00653F1E">
        <w:rPr>
          <w:rFonts w:eastAsia="Times New Roman" w:cs="Times New Roman"/>
          <w:b/>
          <w:bCs/>
          <w:szCs w:val="28"/>
        </w:rPr>
        <w:t xml:space="preserve">NHIỆM VỤ, ĐỀ ÁN, CHÍNH SÁCH TRỌNG TÂM </w:t>
      </w:r>
    </w:p>
    <w:p w:rsidR="00653F1E" w:rsidRDefault="00653F1E" w:rsidP="00653F1E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653F1E">
        <w:rPr>
          <w:rFonts w:eastAsia="Times New Roman" w:cs="Times New Roman"/>
          <w:b/>
          <w:bCs/>
          <w:szCs w:val="28"/>
        </w:rPr>
        <w:t>triển khai thực hiện</w:t>
      </w:r>
      <w:r w:rsidR="00ED2BF3" w:rsidRPr="00ED2BF3">
        <w:rPr>
          <w:rFonts w:eastAsia="Times New Roman" w:cs="Times New Roman"/>
          <w:b/>
          <w:bCs/>
          <w:szCs w:val="28"/>
        </w:rPr>
        <w:t xml:space="preserve"> </w:t>
      </w:r>
      <w:r w:rsidRPr="00653F1E">
        <w:rPr>
          <w:rFonts w:eastAsia="Times New Roman" w:cs="Times New Roman"/>
          <w:b/>
          <w:bCs/>
          <w:szCs w:val="28"/>
        </w:rPr>
        <w:t xml:space="preserve">Nghị quyết số 21-NQ/TU ngày 29 tháng 4 năm 2026 </w:t>
      </w:r>
    </w:p>
    <w:p w:rsidR="00653F1E" w:rsidRDefault="00653F1E" w:rsidP="00653F1E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653F1E">
        <w:rPr>
          <w:rFonts w:eastAsia="Times New Roman" w:cs="Times New Roman"/>
          <w:b/>
          <w:bCs/>
          <w:szCs w:val="28"/>
        </w:rPr>
        <w:t xml:space="preserve">của Ban Chấp hành Đảng bộ thành phố về nâng cao chất lượng đào tạo và phát triển nguồn nhân lực y tế chất lượng cao thành phố Cần Thơ </w:t>
      </w:r>
    </w:p>
    <w:p w:rsidR="00653F1E" w:rsidRPr="00653F1E" w:rsidRDefault="00653F1E" w:rsidP="00653F1E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653F1E">
        <w:rPr>
          <w:rFonts w:eastAsia="Times New Roman" w:cs="Times New Roman"/>
          <w:b/>
          <w:bCs/>
          <w:szCs w:val="28"/>
        </w:rPr>
        <w:t>đến năm 2030, tầm nhìn đến năm 2035</w:t>
      </w:r>
    </w:p>
    <w:p w:rsidR="00ED2BF3" w:rsidRDefault="00ED2BF3" w:rsidP="00ED2BF3">
      <w:pPr>
        <w:spacing w:after="0" w:line="240" w:lineRule="auto"/>
        <w:jc w:val="center"/>
        <w:rPr>
          <w:i/>
        </w:rPr>
      </w:pPr>
      <w:r>
        <w:t>(</w:t>
      </w:r>
      <w:r w:rsidRPr="00ED2BF3">
        <w:rPr>
          <w:i/>
        </w:rPr>
        <w:t xml:space="preserve">Kèm theo Kế hoạch số         /KH-UBND ngày ... tháng 6 năm 2026 </w:t>
      </w:r>
    </w:p>
    <w:p w:rsidR="00ED2BF3" w:rsidRDefault="00ED2BF3" w:rsidP="00ED2BF3">
      <w:pPr>
        <w:spacing w:after="0" w:line="240" w:lineRule="auto"/>
        <w:jc w:val="center"/>
      </w:pPr>
      <w:r w:rsidRPr="00ED2BF3">
        <w:rPr>
          <w:i/>
        </w:rPr>
        <w:t>của Ủy ban nhân dân thành phố</w:t>
      </w:r>
      <w:r>
        <w:t>)</w:t>
      </w:r>
    </w:p>
    <w:p w:rsidR="00653F1E" w:rsidRDefault="00ED2BF3" w:rsidP="00ED2BF3">
      <w:pPr>
        <w:spacing w:after="0" w:line="240" w:lineRule="auto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64770</wp:posOffset>
                </wp:positionV>
                <wp:extent cx="1332000" cy="0"/>
                <wp:effectExtent l="0" t="0" r="2095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79FF36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5.1pt" to="104.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746"/>
        <w:gridCol w:w="3360"/>
        <w:gridCol w:w="1314"/>
        <w:gridCol w:w="1379"/>
        <w:gridCol w:w="1539"/>
        <w:gridCol w:w="1400"/>
      </w:tblGrid>
      <w:tr w:rsidR="00825CF6" w:rsidRPr="00825CF6" w:rsidTr="00825CF6">
        <w:tc>
          <w:tcPr>
            <w:tcW w:w="746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825CF6">
              <w:rPr>
                <w:rFonts w:asciiTheme="majorHAnsi" w:hAnsiTheme="majorHAnsi" w:cstheme="majorHAnsi"/>
                <w:b/>
                <w:szCs w:val="28"/>
                <w:lang w:val="en-US"/>
              </w:rPr>
              <w:t>STT</w:t>
            </w:r>
          </w:p>
        </w:tc>
        <w:tc>
          <w:tcPr>
            <w:tcW w:w="3360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b/>
                <w:bCs/>
                <w:szCs w:val="28"/>
                <w:lang w:val="en-US"/>
              </w:rPr>
              <w:t>Tên nhiệm vụ</w:t>
            </w:r>
          </w:p>
        </w:tc>
        <w:tc>
          <w:tcPr>
            <w:tcW w:w="1314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b/>
                <w:bCs/>
                <w:szCs w:val="28"/>
                <w:lang w:val="en-US"/>
              </w:rPr>
              <w:t>Cơ quan chủ trì</w:t>
            </w:r>
          </w:p>
        </w:tc>
        <w:tc>
          <w:tcPr>
            <w:tcW w:w="1379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b/>
                <w:bCs/>
                <w:szCs w:val="28"/>
                <w:lang w:val="en-US"/>
              </w:rPr>
              <w:t>Cơ quan phối hợp</w:t>
            </w:r>
          </w:p>
        </w:tc>
        <w:tc>
          <w:tcPr>
            <w:tcW w:w="1539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b/>
                <w:bCs/>
                <w:szCs w:val="28"/>
                <w:lang w:val="en-US"/>
              </w:rPr>
              <w:t>Kết quả</w:t>
            </w:r>
          </w:p>
        </w:tc>
        <w:tc>
          <w:tcPr>
            <w:tcW w:w="1400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b/>
                <w:bCs/>
                <w:szCs w:val="28"/>
                <w:lang w:val="en-US"/>
              </w:rPr>
              <w:t>Thời gian hoàn thành</w:t>
            </w:r>
          </w:p>
        </w:tc>
      </w:tr>
      <w:tr w:rsidR="00825CF6" w:rsidRPr="00825CF6" w:rsidTr="00825CF6">
        <w:tc>
          <w:tcPr>
            <w:tcW w:w="746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825CF6">
              <w:rPr>
                <w:rFonts w:asciiTheme="majorHAnsi" w:hAnsiTheme="majorHAnsi" w:cstheme="majorHAnsi"/>
                <w:b/>
                <w:szCs w:val="28"/>
                <w:lang w:val="en-US"/>
              </w:rPr>
              <w:t>I</w:t>
            </w:r>
          </w:p>
        </w:tc>
        <w:tc>
          <w:tcPr>
            <w:tcW w:w="3360" w:type="dxa"/>
            <w:vAlign w:val="center"/>
          </w:tcPr>
          <w:p w:rsidR="00825CF6" w:rsidRPr="00825CF6" w:rsidRDefault="00825CF6" w:rsidP="00825CF6">
            <w:pPr>
              <w:jc w:val="both"/>
              <w:rPr>
                <w:rFonts w:asciiTheme="majorHAnsi" w:hAnsiTheme="majorHAnsi" w:cstheme="majorHAnsi"/>
                <w:b/>
                <w:szCs w:val="28"/>
              </w:rPr>
            </w:pPr>
            <w:r w:rsidRPr="00825CF6">
              <w:rPr>
                <w:rFonts w:asciiTheme="majorHAnsi" w:eastAsia="Times New Roman" w:hAnsiTheme="majorHAnsi" w:cstheme="majorHAnsi"/>
                <w:b/>
                <w:bCs/>
                <w:szCs w:val="28"/>
                <w:lang w:val="en-US"/>
              </w:rPr>
              <w:t>NHIỆM VỤ XÂY DỰNG CƠ CHẾ, CHÍNH SÁCH, ĐỀ ÁN</w:t>
            </w:r>
          </w:p>
        </w:tc>
        <w:tc>
          <w:tcPr>
            <w:tcW w:w="1314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379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400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1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Xây dựng Đề án phát triển nguồn nhân lực y tế chất lượng cao và nâng cao năng lực y tế chuyên sâu thành phố Cần Thơ giai đoạn 2026 - 2030, tầm nhìn đến năm 2035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Nội vụ, Sở Tài chính, Trường Đại học Y Dược Cần Thơ và các cơ quan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Đề án được UBND thành phố phê duyệt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Quý IV/2026</w:t>
            </w: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2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Xây dựng chính sách thu hút, đào tạo, đãi ngộ và giữ chân nhân lực y tế chất lượng cao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Nội vụ, Sở Tài chính, Sở Tư pháp và các cơ quan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Nghị quyết của HĐND thành phố hoặc văn bản theo thẩm quyền được ban hành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Quý IV/2026</w:t>
            </w: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3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Xây dựng Đề án phát triển bác sĩ gia đình và nâng cao năng lực y tế cơ sở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 xml:space="preserve">Sở Nội vụ, Sở Tài chính, Trường Đại học Y Dược Cần Thơ, UBND xã, phường và các </w:t>
            </w: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lastRenderedPageBreak/>
              <w:t>đơn vị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lastRenderedPageBreak/>
              <w:t>Đề án được phê duyệt và triển khai thực hiện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Quý IV/2026</w:t>
            </w: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4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Xây dựng Đề án chuyển đổi số, đổi mới sáng tạo và ứng dụng trí tuệ nhân tạo trong ngành y tế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Khoa học và Công nghệ, Sở Tài chính và các cơ quan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Đề án được phê duyệt và triển khai thực hiện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Quý IV/2026</w:t>
            </w:r>
          </w:p>
        </w:tc>
      </w:tr>
      <w:tr w:rsidR="00825CF6" w:rsidRP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825CF6">
              <w:rPr>
                <w:rFonts w:asciiTheme="majorHAnsi" w:hAnsiTheme="majorHAnsi" w:cstheme="majorHAnsi"/>
                <w:b/>
                <w:szCs w:val="28"/>
                <w:lang w:val="en-US"/>
              </w:rPr>
              <w:t>II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825CF6">
              <w:rPr>
                <w:rFonts w:asciiTheme="majorHAnsi" w:hAnsiTheme="majorHAnsi" w:cstheme="majorHAnsi"/>
                <w:b/>
                <w:szCs w:val="28"/>
                <w:lang w:val="en-US"/>
              </w:rPr>
              <w:t>NHIỆM VỤ PHÁT TRIỂN NGUỒN NHÂN LỰC Y TẾ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5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Xây dựng và triển khai kế hoạch đào tạo, bồi dưỡng nguồn nhân lực y tế hằng năm đáp ứng yêu cầu phát triển hệ thống y tế thành phố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Trường Đại học Y Dược Cần Thơ, các cơ sở đào tạo và đơn vị y tế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Kế hoạch đào tạo được ban hành và tổ chức thực hiện hằng năm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Hằng năm</w:t>
            </w: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6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Đẩy mạnh đào tạo sau đại học, đào tạo chuyên khoa sâu, đào tạo tiến sĩ và tương đương đối với các chuyên ngành mũi nhọn, kỹ thuật cao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Các cơ sở đào tạo, bệnh viện và đơn vị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 xml:space="preserve">Tăng </w:t>
            </w:r>
            <w:proofErr w:type="spellStart"/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tỷ</w:t>
            </w:r>
            <w:proofErr w:type="spellEnd"/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 xml:space="preserve"> lệ nhân lực có trình độ sau đại học, hoàn thành chỉ tiêu đào tạo theo kế hoạch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Giai đoạn 2026 - 2030</w:t>
            </w: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7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Phát triển đội ngũ chuyên gia đầu ngành, chuyên gia kỹ thuật cao và đội ngũ cán bộ kế thừa trong ngành y tế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Nội vụ, các bệnh viện và đơn vị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Đội ngũ chuyên gia, nhân lực chất lượng cao được đào tạo, phát triển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Giai đoạn 2026 - 2030</w:t>
            </w: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8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Nâng cao năng lực ngoại ngữ chuyên ngành, quản trị y tế, nghiên cứu khoa học và hội nhập quốc tế cho cán bộ y tế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Các cơ sở đào tạo và đơn vị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Các chương trình đào tạo, bồi dưỡng được triển khai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Giai đoạn 2026 - 2030</w:t>
            </w:r>
          </w:p>
        </w:tc>
      </w:tr>
      <w:tr w:rsidR="00825CF6" w:rsidRPr="00825CF6" w:rsidTr="00825CF6">
        <w:tc>
          <w:tcPr>
            <w:tcW w:w="746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825CF6">
              <w:rPr>
                <w:rFonts w:asciiTheme="majorHAnsi" w:hAnsiTheme="majorHAnsi" w:cstheme="majorHAnsi"/>
                <w:b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3360" w:type="dxa"/>
            <w:vAlign w:val="center"/>
          </w:tcPr>
          <w:p w:rsidR="00825CF6" w:rsidRPr="00825CF6" w:rsidRDefault="00825CF6" w:rsidP="00825CF6">
            <w:pPr>
              <w:jc w:val="both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825CF6">
              <w:rPr>
                <w:rFonts w:asciiTheme="majorHAnsi" w:hAnsiTheme="majorHAnsi" w:cstheme="majorHAnsi"/>
                <w:b/>
                <w:szCs w:val="28"/>
                <w:lang w:val="en-US"/>
              </w:rPr>
              <w:t>NHIỆM VỤ NÂNG CAO NĂNG LỰC HỆ THỐNG Y TẾ</w:t>
            </w:r>
          </w:p>
        </w:tc>
        <w:tc>
          <w:tcPr>
            <w:tcW w:w="1314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379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400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9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Phát triển kỹ thuật cao, kỹ thuật chuyên sâu; nâng cao năng lực các bệnh viện hạng I, bệnh viện cấp chuyên sâu của thành phố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Các cơ sở khám bệnh, chữa bệnh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Kỹ thuật mới, kỹ thuật chuyên sâu được triển khai và làm chủ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Giai đoạn 2026 - 2030</w:t>
            </w: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10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Tăng cường chỉ đạo tuyến, đào tạo thực hành, chuyển giao kỹ thuật và hỗ trợ chuyên môn cho y tế cơ sở và các địa phương trong vùng Đồng bằng sông Cửu Long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Các bệnh viện, cơ sở y tế và đơn vị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Chương trình đào tạo, chuyển giao kỹ thuật được triển khai thường xuyên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Thường xuyên</w:t>
            </w: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11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Triển khai mô hình hoạt động theo nguyên lý y học gia đình tại các xã, phường trên địa bàn thành phố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UBND xã, phường và các đơn vị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Mô hình y học gia đình được triển khai tại 100% xã, phường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Đến năm 2030</w:t>
            </w:r>
          </w:p>
        </w:tc>
      </w:tr>
      <w:tr w:rsidR="00825CF6" w:rsidRP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825CF6">
              <w:rPr>
                <w:rFonts w:asciiTheme="majorHAnsi" w:hAnsiTheme="majorHAnsi" w:cstheme="majorHAnsi"/>
                <w:b/>
                <w:szCs w:val="28"/>
                <w:lang w:val="en-US"/>
              </w:rPr>
              <w:t>IV</w:t>
            </w:r>
          </w:p>
        </w:tc>
        <w:tc>
          <w:tcPr>
            <w:tcW w:w="3360" w:type="dxa"/>
            <w:vAlign w:val="center"/>
          </w:tcPr>
          <w:p w:rsidR="00825CF6" w:rsidRPr="00825CF6" w:rsidRDefault="00825CF6" w:rsidP="00825CF6">
            <w:pPr>
              <w:jc w:val="both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825CF6">
              <w:rPr>
                <w:rFonts w:asciiTheme="majorHAnsi" w:hAnsiTheme="majorHAnsi" w:cstheme="majorHAnsi"/>
                <w:b/>
                <w:szCs w:val="28"/>
                <w:lang w:val="en-US"/>
              </w:rPr>
              <w:t>NHIỆM VỤ CHUYỂN ĐỔI SỐ, KHOA HỌC CÔNG NGHỆ VÀ HỢP TÁC QUỐC TẾ</w:t>
            </w:r>
          </w:p>
        </w:tc>
        <w:tc>
          <w:tcPr>
            <w:tcW w:w="1314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379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400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12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Xây dựng và vận hành hệ thống đào tạo trực tuyến ngành y tế thành phố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Khoa học và Công nghệ, Trường Đại học Y Dược Cần Thơ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Hệ thống đào tạo trực tuyến được đưa vào khai thác sử dụng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Năm 2027</w:t>
            </w: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13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Triển khai đào tạo, bồi dưỡng kiến thức chuyển đổi số và ứng dụng trí tuệ nhân tạo cho nhân viên y tế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Khoa học và Công nghệ và các đơn vị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Chương trình đào tạo được triển khai trong toàn ngành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Giai đoạn 2026 - 2030</w:t>
            </w: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Triển khai Telehealth, đào tạo từ xa, hội chẩn trực tuyến, hồ sơ sức khỏe điện tử, bệnh án điện tử và cơ sở dữ liệu ngành y tế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Các cơ quan, đơn vị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Các nền tảng số được triển khai, vận hành hiệu quả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Giai đoạn 2026 - 2030</w:t>
            </w:r>
          </w:p>
        </w:tc>
      </w:tr>
      <w:tr w:rsid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15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Đẩy mạnh nghiên cứu khoa học, đổi mới sáng tạo, hợp tác quốc tế và chuyển giao công nghệ trong lĩnh vực y tế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Khoa học và Công nghệ, Trường Đại học Y Dược Cần Thơ và các đơn vị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Các chương trình hợp tác, đề tài nghiên cứu và hoạt động chuyển giao công nghệ được triển khai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Hằng năm</w:t>
            </w:r>
          </w:p>
        </w:tc>
      </w:tr>
      <w:tr w:rsidR="00825CF6" w:rsidRP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825CF6">
              <w:rPr>
                <w:rFonts w:asciiTheme="majorHAnsi" w:hAnsiTheme="majorHAnsi" w:cstheme="majorHAnsi"/>
                <w:b/>
                <w:szCs w:val="28"/>
                <w:lang w:val="en-US"/>
              </w:rPr>
              <w:t>V</w:t>
            </w:r>
          </w:p>
        </w:tc>
        <w:tc>
          <w:tcPr>
            <w:tcW w:w="3360" w:type="dxa"/>
            <w:vAlign w:val="center"/>
          </w:tcPr>
          <w:p w:rsidR="00825CF6" w:rsidRPr="00825CF6" w:rsidRDefault="00825CF6" w:rsidP="00825CF6">
            <w:pPr>
              <w:jc w:val="both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  <w:r w:rsidRPr="00825CF6">
              <w:rPr>
                <w:rFonts w:asciiTheme="majorHAnsi" w:hAnsiTheme="majorHAnsi" w:cstheme="majorHAnsi"/>
                <w:b/>
                <w:szCs w:val="28"/>
                <w:lang w:val="en-US"/>
              </w:rPr>
              <w:t>NHIỆM VỤ THEO DÕI, ĐÁNH GI</w:t>
            </w:r>
            <w:bookmarkStart w:id="0" w:name="_GoBack"/>
            <w:bookmarkEnd w:id="0"/>
            <w:r w:rsidRPr="00825CF6">
              <w:rPr>
                <w:rFonts w:asciiTheme="majorHAnsi" w:hAnsiTheme="majorHAnsi" w:cstheme="majorHAnsi"/>
                <w:b/>
                <w:szCs w:val="28"/>
                <w:lang w:val="en-US"/>
              </w:rPr>
              <w:t>Á THỰC HIỆN NGHỊ QUYẾT</w:t>
            </w:r>
          </w:p>
        </w:tc>
        <w:tc>
          <w:tcPr>
            <w:tcW w:w="1314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379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  <w:tc>
          <w:tcPr>
            <w:tcW w:w="1400" w:type="dxa"/>
            <w:vAlign w:val="center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b/>
                <w:szCs w:val="28"/>
                <w:lang w:val="en-US"/>
              </w:rPr>
            </w:pPr>
          </w:p>
        </w:tc>
      </w:tr>
      <w:tr w:rsidR="00825CF6" w:rsidRP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16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Xây dựng bộ chỉ tiêu theo dõi, đánh giá kết quả thực hiện Nghị quyết số 21-NQ/TU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Nội vụ, Thống kê thành phố và các đơn vị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Bộ chỉ tiêu theo dõi, đánh giá được ban hành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Quý IV/2026</w:t>
            </w:r>
          </w:p>
        </w:tc>
      </w:tr>
      <w:tr w:rsidR="00825CF6" w:rsidRPr="00825CF6" w:rsidTr="00825CF6">
        <w:tc>
          <w:tcPr>
            <w:tcW w:w="746" w:type="dxa"/>
          </w:tcPr>
          <w:p w:rsidR="00825CF6" w:rsidRPr="00825CF6" w:rsidRDefault="00825CF6" w:rsidP="00825CF6">
            <w:pPr>
              <w:jc w:val="center"/>
              <w:rPr>
                <w:rFonts w:asciiTheme="majorHAnsi" w:hAnsiTheme="majorHAnsi" w:cstheme="majorHAnsi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Cs w:val="28"/>
                <w:lang w:val="en-US"/>
              </w:rPr>
              <w:t>17</w:t>
            </w:r>
          </w:p>
        </w:tc>
        <w:tc>
          <w:tcPr>
            <w:tcW w:w="3360" w:type="dxa"/>
          </w:tcPr>
          <w:p w:rsidR="00825CF6" w:rsidRPr="00825CF6" w:rsidRDefault="00825CF6" w:rsidP="00825CF6">
            <w:pPr>
              <w:jc w:val="both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Tổ chức kiểm tra, giám sát, sơ kết, tổng kết và đánh giá kết quả thực hiện Nghị quyết số 21-NQ/TU</w:t>
            </w:r>
          </w:p>
        </w:tc>
        <w:tc>
          <w:tcPr>
            <w:tcW w:w="1314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Sở Y tế</w:t>
            </w:r>
          </w:p>
        </w:tc>
        <w:tc>
          <w:tcPr>
            <w:tcW w:w="137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Các sở, ban, ngành, địa phương và đơn vị liên quan</w:t>
            </w:r>
          </w:p>
        </w:tc>
        <w:tc>
          <w:tcPr>
            <w:tcW w:w="1539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Báo cáo định kỳ, sơ kết, tổng kết được thực hiện theo quy định</w:t>
            </w:r>
          </w:p>
        </w:tc>
        <w:tc>
          <w:tcPr>
            <w:tcW w:w="1400" w:type="dxa"/>
          </w:tcPr>
          <w:p w:rsidR="00825CF6" w:rsidRPr="00825CF6" w:rsidRDefault="00825CF6" w:rsidP="00825CF6">
            <w:pPr>
              <w:jc w:val="center"/>
              <w:rPr>
                <w:rFonts w:asciiTheme="majorHAnsi" w:eastAsia="Times New Roman" w:hAnsiTheme="majorHAnsi" w:cstheme="majorHAnsi"/>
                <w:szCs w:val="28"/>
                <w:lang w:val="en-US"/>
              </w:rPr>
            </w:pPr>
            <w:r w:rsidRPr="00825CF6">
              <w:rPr>
                <w:rFonts w:asciiTheme="majorHAnsi" w:eastAsia="Times New Roman" w:hAnsiTheme="majorHAnsi" w:cstheme="majorHAnsi"/>
                <w:szCs w:val="28"/>
                <w:lang w:val="en-US"/>
              </w:rPr>
              <w:t>Hằng năm; sơ kết năm 2028; tổng kết năm 2030</w:t>
            </w:r>
          </w:p>
        </w:tc>
      </w:tr>
    </w:tbl>
    <w:p w:rsidR="00653F1E" w:rsidRPr="00653F1E" w:rsidRDefault="00653F1E" w:rsidP="00653F1E">
      <w:pPr>
        <w:spacing w:after="0" w:line="240" w:lineRule="auto"/>
        <w:rPr>
          <w:rFonts w:eastAsia="Times New Roman" w:cs="Times New Roman"/>
          <w:vanish/>
          <w:sz w:val="24"/>
          <w:szCs w:val="24"/>
          <w:lang w:val="en-US"/>
        </w:rPr>
      </w:pPr>
    </w:p>
    <w:p w:rsidR="00653F1E" w:rsidRDefault="00653F1E" w:rsidP="00653F1E"/>
    <w:sectPr w:rsidR="00653F1E" w:rsidSect="002535C0">
      <w:pgSz w:w="11907" w:h="16840" w:code="9"/>
      <w:pgMar w:top="1134" w:right="964" w:bottom="1134" w:left="1701" w:header="851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F3"/>
    <w:rsid w:val="00036C87"/>
    <w:rsid w:val="000B1371"/>
    <w:rsid w:val="000C5498"/>
    <w:rsid w:val="000F0A50"/>
    <w:rsid w:val="0019031A"/>
    <w:rsid w:val="001961C8"/>
    <w:rsid w:val="00197969"/>
    <w:rsid w:val="001D2384"/>
    <w:rsid w:val="002535C0"/>
    <w:rsid w:val="002723E1"/>
    <w:rsid w:val="002752E2"/>
    <w:rsid w:val="003612B3"/>
    <w:rsid w:val="00382820"/>
    <w:rsid w:val="003B3051"/>
    <w:rsid w:val="003B5827"/>
    <w:rsid w:val="003C008D"/>
    <w:rsid w:val="003D0704"/>
    <w:rsid w:val="003F0823"/>
    <w:rsid w:val="00475B00"/>
    <w:rsid w:val="004F3581"/>
    <w:rsid w:val="00514206"/>
    <w:rsid w:val="00543012"/>
    <w:rsid w:val="00570460"/>
    <w:rsid w:val="005D1F17"/>
    <w:rsid w:val="00602A95"/>
    <w:rsid w:val="00653F1E"/>
    <w:rsid w:val="00664DB5"/>
    <w:rsid w:val="006F0C3D"/>
    <w:rsid w:val="00770874"/>
    <w:rsid w:val="007750E5"/>
    <w:rsid w:val="00797F03"/>
    <w:rsid w:val="007C3745"/>
    <w:rsid w:val="00825CF6"/>
    <w:rsid w:val="008A3D05"/>
    <w:rsid w:val="008B2031"/>
    <w:rsid w:val="008C2155"/>
    <w:rsid w:val="008D71C9"/>
    <w:rsid w:val="00947450"/>
    <w:rsid w:val="009E5732"/>
    <w:rsid w:val="00A242EB"/>
    <w:rsid w:val="00A247F3"/>
    <w:rsid w:val="00A33280"/>
    <w:rsid w:val="00A534C8"/>
    <w:rsid w:val="00AE782D"/>
    <w:rsid w:val="00B30AFF"/>
    <w:rsid w:val="00B86316"/>
    <w:rsid w:val="00BE0F41"/>
    <w:rsid w:val="00BF4589"/>
    <w:rsid w:val="00C5086D"/>
    <w:rsid w:val="00CA2611"/>
    <w:rsid w:val="00CD35A2"/>
    <w:rsid w:val="00DE0CF3"/>
    <w:rsid w:val="00E076A3"/>
    <w:rsid w:val="00E6383B"/>
    <w:rsid w:val="00ED2BF3"/>
    <w:rsid w:val="00F2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8727F2-FF25-4FE5-BD23-78E1E4AD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97F0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2B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ED2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97F03"/>
    <w:rPr>
      <w:rFonts w:eastAsia="Times New Roman" w:cs="Times New Roman"/>
      <w:b/>
      <w:bCs/>
      <w:sz w:val="27"/>
      <w:szCs w:val="27"/>
      <w:lang w:val="en-US"/>
    </w:rPr>
  </w:style>
  <w:style w:type="character" w:styleId="Strong">
    <w:name w:val="Strong"/>
    <w:basedOn w:val="DefaultParagraphFont"/>
    <w:uiPriority w:val="22"/>
    <w:qFormat/>
    <w:rsid w:val="00825C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1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9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2026-06-11T03:03:00Z</dcterms:created>
  <dcterms:modified xsi:type="dcterms:W3CDTF">2026-06-11T03:38:00Z</dcterms:modified>
</cp:coreProperties>
</file>